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C94C35" w:rsidRPr="00C94C35" w:rsidTr="00C94C35">
        <w:tc>
          <w:tcPr>
            <w:tcW w:w="8978" w:type="dxa"/>
          </w:tcPr>
          <w:p w:rsidR="00C94C35" w:rsidRPr="00C94C35" w:rsidRDefault="00C94C35" w:rsidP="00C94C35">
            <w:pPr>
              <w:jc w:val="center"/>
              <w:rPr>
                <w:rFonts w:ascii="Century Gothic" w:hAnsi="Century Gothic"/>
                <w:sz w:val="24"/>
                <w:szCs w:val="24"/>
                <w:lang w:val="de-DE"/>
              </w:rPr>
            </w:pPr>
            <w:r w:rsidRPr="00C94C35">
              <w:rPr>
                <w:rFonts w:ascii="Century Gothic" w:hAnsi="Century Gothic"/>
                <w:sz w:val="24"/>
                <w:szCs w:val="24"/>
                <w:lang w:val="de-DE"/>
              </w:rPr>
              <w:t>Deutsche Schule Valparaíso</w:t>
            </w:r>
          </w:p>
          <w:p w:rsidR="00C94C35" w:rsidRPr="00C94C35" w:rsidRDefault="00C94C35" w:rsidP="00C94C35">
            <w:pPr>
              <w:jc w:val="center"/>
              <w:rPr>
                <w:rFonts w:ascii="Century Gothic" w:hAnsi="Century Gothic"/>
                <w:sz w:val="24"/>
                <w:szCs w:val="24"/>
                <w:lang w:val="de-DE"/>
              </w:rPr>
            </w:pPr>
            <w:r w:rsidRPr="00C94C35">
              <w:rPr>
                <w:rFonts w:ascii="Century Gothic" w:hAnsi="Century Gothic"/>
                <w:sz w:val="24"/>
                <w:szCs w:val="24"/>
                <w:lang w:val="de-DE"/>
              </w:rPr>
              <w:t>Arbeitsblatt Nr.</w:t>
            </w:r>
          </w:p>
          <w:p w:rsidR="00C94C35" w:rsidRDefault="00C94C35" w:rsidP="00C94C35">
            <w:pPr>
              <w:jc w:val="both"/>
              <w:rPr>
                <w:rFonts w:ascii="Century Gothic" w:hAnsi="Century Gothic"/>
                <w:sz w:val="24"/>
                <w:szCs w:val="24"/>
                <w:lang w:val="de-DE"/>
              </w:rPr>
            </w:pPr>
            <w:r>
              <w:rPr>
                <w:rFonts w:ascii="Century Gothic" w:hAnsi="Century Gothic"/>
                <w:sz w:val="24"/>
                <w:szCs w:val="24"/>
                <w:lang w:val="de-DE"/>
              </w:rPr>
              <w:t>Name: ..................................................................... Klasse: 6. Datum: ...............</w:t>
            </w:r>
          </w:p>
          <w:p w:rsidR="00C94C35" w:rsidRPr="00C94C35" w:rsidRDefault="00C94C35" w:rsidP="00C94C35">
            <w:pPr>
              <w:jc w:val="both"/>
              <w:rPr>
                <w:rFonts w:ascii="Century Gothic" w:hAnsi="Century Gothic"/>
                <w:sz w:val="24"/>
                <w:szCs w:val="24"/>
                <w:lang w:val="de-DE"/>
              </w:rPr>
            </w:pPr>
          </w:p>
        </w:tc>
      </w:tr>
    </w:tbl>
    <w:p w:rsidR="00B92150" w:rsidRDefault="00C94C35" w:rsidP="00C94C35">
      <w:pPr>
        <w:jc w:val="center"/>
        <w:rPr>
          <w:rFonts w:ascii="Century Gothic" w:hAnsi="Century Gothic"/>
          <w:b/>
          <w:sz w:val="32"/>
          <w:szCs w:val="32"/>
          <w:lang w:val="de-DE"/>
        </w:rPr>
      </w:pPr>
      <w:r w:rsidRPr="00C94C35">
        <w:rPr>
          <w:rFonts w:ascii="Century Gothic" w:hAnsi="Century Gothic"/>
          <w:b/>
          <w:sz w:val="32"/>
          <w:szCs w:val="32"/>
          <w:lang w:val="de-DE"/>
        </w:rPr>
        <w:t xml:space="preserve">La </w:t>
      </w:r>
      <w:r>
        <w:rPr>
          <w:rFonts w:ascii="Century Gothic" w:hAnsi="Century Gothic"/>
          <w:b/>
          <w:sz w:val="32"/>
          <w:szCs w:val="32"/>
          <w:lang w:val="de-DE"/>
        </w:rPr>
        <w:t>Crisis del P</w:t>
      </w:r>
      <w:r w:rsidRPr="00C94C35">
        <w:rPr>
          <w:rFonts w:ascii="Century Gothic" w:hAnsi="Century Gothic"/>
          <w:b/>
          <w:sz w:val="32"/>
          <w:szCs w:val="32"/>
          <w:lang w:val="de-DE"/>
        </w:rPr>
        <w:t>arlamentarismo.</w:t>
      </w:r>
    </w:p>
    <w:p w:rsidR="00C94C35" w:rsidRPr="00C94C35" w:rsidRDefault="00C94C35" w:rsidP="00C94C35">
      <w:pPr>
        <w:jc w:val="both"/>
        <w:rPr>
          <w:rFonts w:ascii="Century Gothic" w:hAnsi="Century Gothic"/>
          <w:sz w:val="24"/>
          <w:szCs w:val="24"/>
        </w:rPr>
      </w:pPr>
      <w:r w:rsidRPr="00C94C35">
        <w:rPr>
          <w:rFonts w:ascii="Century Gothic" w:hAnsi="Century Gothic"/>
          <w:sz w:val="24"/>
          <w:szCs w:val="24"/>
        </w:rPr>
        <w:t>El siglo XX chileno.</w:t>
      </w:r>
    </w:p>
    <w:p w:rsidR="00C94C35" w:rsidRDefault="00C94C35" w:rsidP="00C94C35">
      <w:pPr>
        <w:jc w:val="both"/>
        <w:rPr>
          <w:rFonts w:ascii="Century Gothic" w:hAnsi="Century Gothic"/>
          <w:sz w:val="24"/>
          <w:szCs w:val="24"/>
        </w:rPr>
      </w:pPr>
      <w:r w:rsidRPr="00C94C35">
        <w:rPr>
          <w:rFonts w:ascii="Century Gothic" w:hAnsi="Century Gothic"/>
          <w:sz w:val="24"/>
          <w:szCs w:val="24"/>
        </w:rPr>
        <w:t xml:space="preserve">Durante el periodo que se </w:t>
      </w:r>
      <w:r w:rsidRPr="00C94C35">
        <w:rPr>
          <w:rFonts w:ascii="Century Gothic" w:hAnsi="Century Gothic"/>
          <w:b/>
          <w:sz w:val="24"/>
          <w:szCs w:val="24"/>
        </w:rPr>
        <w:t>extendió entre 1920 y 1973</w:t>
      </w:r>
      <w:r>
        <w:rPr>
          <w:rFonts w:ascii="Century Gothic" w:hAnsi="Century Gothic"/>
          <w:sz w:val="24"/>
          <w:szCs w:val="24"/>
        </w:rPr>
        <w:t xml:space="preserve"> se produjeron transformaciones que aproximaron a Chile al ideal de </w:t>
      </w:r>
      <w:r w:rsidRPr="00C94C35">
        <w:rPr>
          <w:rFonts w:ascii="Century Gothic" w:hAnsi="Century Gothic"/>
          <w:b/>
          <w:sz w:val="24"/>
          <w:szCs w:val="24"/>
        </w:rPr>
        <w:t>sociedad moderna</w:t>
      </w:r>
      <w:r>
        <w:rPr>
          <w:rFonts w:ascii="Century Gothic" w:hAnsi="Century Gothic"/>
          <w:sz w:val="24"/>
          <w:szCs w:val="24"/>
        </w:rPr>
        <w:t xml:space="preserve"> representado por las naciones europeas y los Estados Unidos. A lo largo de este periodo se produjo el ascenso político de nuevas </w:t>
      </w:r>
      <w:r w:rsidRPr="00C94C35">
        <w:rPr>
          <w:rFonts w:ascii="Century Gothic" w:hAnsi="Century Gothic"/>
          <w:b/>
          <w:sz w:val="24"/>
          <w:szCs w:val="24"/>
        </w:rPr>
        <w:t>clases sociales</w:t>
      </w:r>
      <w:r>
        <w:rPr>
          <w:rFonts w:ascii="Century Gothic" w:hAnsi="Century Gothic"/>
          <w:sz w:val="24"/>
          <w:szCs w:val="24"/>
        </w:rPr>
        <w:t>, que procuraron mayores niveles de participación, igualdad y justicia social.</w:t>
      </w:r>
    </w:p>
    <w:p w:rsidR="00C94C35" w:rsidRDefault="00C94C35" w:rsidP="00C94C35">
      <w:pPr>
        <w:rPr>
          <w:rFonts w:ascii="Century Gothic" w:hAnsi="Century Gothic"/>
          <w:sz w:val="24"/>
          <w:szCs w:val="24"/>
        </w:rPr>
      </w:pPr>
      <w:r>
        <w:rPr>
          <w:noProof/>
          <w:color w:val="0000FF"/>
          <w:lang w:eastAsia="es-CL"/>
        </w:rPr>
        <w:drawing>
          <wp:inline distT="0" distB="0" distL="0" distR="0" wp14:anchorId="6EF2BB00" wp14:editId="7781189D">
            <wp:extent cx="4714875" cy="2781300"/>
            <wp:effectExtent l="0" t="0" r="9525" b="0"/>
            <wp:docPr id="3" name="irc_mi" descr="https://encrypted-tbn3.gstatic.com/images?q=tbn:ANd9GcTdneKJUPTYrcMbUXVKov6EvlaTFHzmYpw9X83IaIWkGbII1K3WXA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s://encrypted-tbn3.gstatic.com/images?q=tbn:ANd9GcTdneKJUPTYrcMbUXVKov6EvlaTFHzmYpw9X83IaIWkGbII1K3WXA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4C35" w:rsidRPr="00C94C35" w:rsidRDefault="00C94C35" w:rsidP="00C94C35">
      <w:pPr>
        <w:jc w:val="both"/>
        <w:rPr>
          <w:rFonts w:ascii="Century Gothic" w:hAnsi="Century Gothic"/>
          <w:b/>
          <w:sz w:val="24"/>
          <w:szCs w:val="24"/>
        </w:rPr>
      </w:pPr>
      <w:r w:rsidRPr="00C94C35">
        <w:rPr>
          <w:rFonts w:ascii="Century Gothic" w:hAnsi="Century Gothic"/>
          <w:b/>
          <w:sz w:val="24"/>
          <w:szCs w:val="24"/>
        </w:rPr>
        <w:t>La crisis social y económica.</w:t>
      </w:r>
    </w:p>
    <w:p w:rsidR="00C94C35" w:rsidRDefault="00C94C35" w:rsidP="00C94C35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Hacia </w:t>
      </w:r>
      <w:r w:rsidRPr="00C94C35">
        <w:rPr>
          <w:rFonts w:ascii="Century Gothic" w:hAnsi="Century Gothic"/>
          <w:b/>
          <w:sz w:val="24"/>
          <w:szCs w:val="24"/>
        </w:rPr>
        <w:t>principios del siglo XX</w:t>
      </w:r>
      <w:r>
        <w:rPr>
          <w:rFonts w:ascii="Century Gothic" w:hAnsi="Century Gothic"/>
          <w:sz w:val="24"/>
          <w:szCs w:val="24"/>
        </w:rPr>
        <w:t xml:space="preserve"> los ingresos producidos por la venta del </w:t>
      </w:r>
      <w:r w:rsidRPr="00B101A5">
        <w:rPr>
          <w:rFonts w:ascii="Century Gothic" w:hAnsi="Century Gothic"/>
          <w:b/>
          <w:sz w:val="24"/>
          <w:szCs w:val="24"/>
        </w:rPr>
        <w:t>salitre</w:t>
      </w:r>
      <w:r>
        <w:rPr>
          <w:rFonts w:ascii="Century Gothic" w:hAnsi="Century Gothic"/>
          <w:sz w:val="24"/>
          <w:szCs w:val="24"/>
        </w:rPr>
        <w:t xml:space="preserve"> a otras naciones </w:t>
      </w:r>
      <w:r w:rsidRPr="00B101A5">
        <w:rPr>
          <w:rFonts w:ascii="Century Gothic" w:hAnsi="Century Gothic"/>
          <w:b/>
          <w:sz w:val="24"/>
          <w:szCs w:val="24"/>
        </w:rPr>
        <w:t xml:space="preserve">beneficiaron al comercio y a la industria, </w:t>
      </w:r>
      <w:r w:rsidR="00B101A5" w:rsidRPr="00B101A5">
        <w:rPr>
          <w:rFonts w:ascii="Century Gothic" w:hAnsi="Century Gothic"/>
          <w:b/>
          <w:sz w:val="24"/>
          <w:szCs w:val="24"/>
        </w:rPr>
        <w:t>ayudaron</w:t>
      </w:r>
      <w:r w:rsidRPr="00B101A5">
        <w:rPr>
          <w:rFonts w:ascii="Century Gothic" w:hAnsi="Century Gothic"/>
          <w:b/>
          <w:sz w:val="24"/>
          <w:szCs w:val="24"/>
        </w:rPr>
        <w:t xml:space="preserve"> a financiar obras públicas y aumentaron las fortunas de la clase alta chilena y de inversionistas extranjeros</w:t>
      </w:r>
      <w:r>
        <w:rPr>
          <w:rFonts w:ascii="Century Gothic" w:hAnsi="Century Gothic"/>
          <w:sz w:val="24"/>
          <w:szCs w:val="24"/>
        </w:rPr>
        <w:t xml:space="preserve">. Sin embrago, </w:t>
      </w:r>
      <w:r w:rsidRPr="00B101A5">
        <w:rPr>
          <w:rFonts w:ascii="Century Gothic" w:hAnsi="Century Gothic"/>
          <w:b/>
          <w:sz w:val="24"/>
          <w:szCs w:val="24"/>
        </w:rPr>
        <w:t xml:space="preserve">los grupos medios y los trabajadores </w:t>
      </w:r>
      <w:r>
        <w:rPr>
          <w:rFonts w:ascii="Century Gothic" w:hAnsi="Century Gothic"/>
          <w:sz w:val="24"/>
          <w:szCs w:val="24"/>
        </w:rPr>
        <w:t xml:space="preserve">solo percibían un salario, o remuneración, cuyo poder de compra era reducido por los altos precios del comercio. </w:t>
      </w:r>
      <w:r w:rsidRPr="00B101A5">
        <w:rPr>
          <w:rFonts w:ascii="Century Gothic" w:hAnsi="Century Gothic"/>
          <w:b/>
          <w:sz w:val="24"/>
          <w:szCs w:val="24"/>
        </w:rPr>
        <w:t>Las familias obreras</w:t>
      </w:r>
      <w:r>
        <w:rPr>
          <w:rFonts w:ascii="Century Gothic" w:hAnsi="Century Gothic"/>
          <w:sz w:val="24"/>
          <w:szCs w:val="24"/>
        </w:rPr>
        <w:t xml:space="preserve"> carecían de atención de salud, pensiones en caso de invalidez o vejez o acceso a buenas condiciones de vivienda y educación. Salvo por </w:t>
      </w:r>
      <w:r>
        <w:rPr>
          <w:rFonts w:ascii="Century Gothic" w:hAnsi="Century Gothic"/>
          <w:sz w:val="24"/>
          <w:szCs w:val="24"/>
        </w:rPr>
        <w:lastRenderedPageBreak/>
        <w:t>un reducido grupo de representantes, estos grupos no poseían poder político en el Congreso.</w:t>
      </w:r>
    </w:p>
    <w:p w:rsidR="00B101A5" w:rsidRDefault="00B101A5" w:rsidP="00C94C35">
      <w:pPr>
        <w:jc w:val="both"/>
        <w:rPr>
          <w:rFonts w:ascii="Century Gothic" w:hAnsi="Century Gothic"/>
          <w:sz w:val="24"/>
          <w:szCs w:val="24"/>
        </w:rPr>
      </w:pPr>
      <w:r>
        <w:rPr>
          <w:noProof/>
          <w:color w:val="0000FF"/>
          <w:lang w:eastAsia="es-CL"/>
        </w:rPr>
        <w:drawing>
          <wp:inline distT="0" distB="0" distL="0" distR="0" wp14:anchorId="415A2BF2" wp14:editId="2BD26087">
            <wp:extent cx="3457575" cy="2333625"/>
            <wp:effectExtent l="0" t="0" r="9525" b="9525"/>
            <wp:docPr id="4" name="irc_mi" descr="http://24.media.tumblr.com/tumblr_lnqqlbm8ia1qiotkpo1_400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24.media.tumblr.com/tumblr_lnqqlbm8ia1qiotkpo1_400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01A5" w:rsidRDefault="00B101A5" w:rsidP="00C94C35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Al finalizar la </w:t>
      </w:r>
      <w:r w:rsidRPr="00B101A5">
        <w:rPr>
          <w:rFonts w:ascii="Century Gothic" w:hAnsi="Century Gothic"/>
          <w:b/>
          <w:sz w:val="24"/>
          <w:szCs w:val="24"/>
        </w:rPr>
        <w:t>Primera Guerra Mundial</w:t>
      </w:r>
      <w:r>
        <w:rPr>
          <w:rFonts w:ascii="Century Gothic" w:hAnsi="Century Gothic"/>
          <w:sz w:val="24"/>
          <w:szCs w:val="24"/>
        </w:rPr>
        <w:t xml:space="preserve"> en Europa (1918), la demanda por el </w:t>
      </w:r>
      <w:r w:rsidRPr="00B101A5">
        <w:rPr>
          <w:rFonts w:ascii="Century Gothic" w:hAnsi="Century Gothic"/>
          <w:b/>
          <w:sz w:val="24"/>
          <w:szCs w:val="24"/>
        </w:rPr>
        <w:t>salitre natural</w:t>
      </w:r>
      <w:r>
        <w:rPr>
          <w:rFonts w:ascii="Century Gothic" w:hAnsi="Century Gothic"/>
          <w:sz w:val="24"/>
          <w:szCs w:val="24"/>
        </w:rPr>
        <w:t xml:space="preserve"> que producía Chile disminuyó notablemente debido a la creación del </w:t>
      </w:r>
      <w:r w:rsidRPr="00B101A5">
        <w:rPr>
          <w:rFonts w:ascii="Century Gothic" w:hAnsi="Century Gothic"/>
          <w:b/>
          <w:sz w:val="24"/>
          <w:szCs w:val="24"/>
        </w:rPr>
        <w:t>salitre sintético</w:t>
      </w:r>
      <w:r>
        <w:rPr>
          <w:rFonts w:ascii="Century Gothic" w:hAnsi="Century Gothic"/>
          <w:sz w:val="24"/>
          <w:szCs w:val="24"/>
        </w:rPr>
        <w:t xml:space="preserve">. Esta situación produjo una </w:t>
      </w:r>
      <w:r w:rsidRPr="00B101A5">
        <w:rPr>
          <w:rFonts w:ascii="Century Gothic" w:hAnsi="Century Gothic"/>
          <w:b/>
          <w:sz w:val="24"/>
          <w:szCs w:val="24"/>
        </w:rPr>
        <w:t>crisis económica</w:t>
      </w:r>
      <w:r>
        <w:rPr>
          <w:rFonts w:ascii="Century Gothic" w:hAnsi="Century Gothic"/>
          <w:sz w:val="24"/>
          <w:szCs w:val="24"/>
        </w:rPr>
        <w:t xml:space="preserve"> generada por el </w:t>
      </w:r>
      <w:r w:rsidRPr="00B101A5">
        <w:rPr>
          <w:rFonts w:ascii="Century Gothic" w:hAnsi="Century Gothic"/>
          <w:b/>
          <w:sz w:val="24"/>
          <w:szCs w:val="24"/>
        </w:rPr>
        <w:t>cierre de varias oficinas salitreras</w:t>
      </w:r>
      <w:r>
        <w:rPr>
          <w:rFonts w:ascii="Century Gothic" w:hAnsi="Century Gothic"/>
          <w:sz w:val="24"/>
          <w:szCs w:val="24"/>
        </w:rPr>
        <w:t xml:space="preserve">, que tuvo como consecuencia el </w:t>
      </w:r>
      <w:r w:rsidRPr="00B101A5">
        <w:rPr>
          <w:rFonts w:ascii="Century Gothic" w:hAnsi="Century Gothic"/>
          <w:b/>
          <w:sz w:val="24"/>
          <w:szCs w:val="24"/>
        </w:rPr>
        <w:t>despido de miles de obreros salitreros</w:t>
      </w:r>
      <w:r>
        <w:rPr>
          <w:rFonts w:ascii="Century Gothic" w:hAnsi="Century Gothic"/>
          <w:sz w:val="24"/>
          <w:szCs w:val="24"/>
        </w:rPr>
        <w:t xml:space="preserve"> y la </w:t>
      </w:r>
      <w:r w:rsidRPr="00B101A5">
        <w:rPr>
          <w:rFonts w:ascii="Century Gothic" w:hAnsi="Century Gothic"/>
          <w:b/>
          <w:sz w:val="24"/>
          <w:szCs w:val="24"/>
        </w:rPr>
        <w:t>falta de recursos</w:t>
      </w:r>
      <w:r>
        <w:rPr>
          <w:rFonts w:ascii="Century Gothic" w:hAnsi="Century Gothic"/>
          <w:sz w:val="24"/>
          <w:szCs w:val="24"/>
        </w:rPr>
        <w:t xml:space="preserve"> para el Estado de Chile.</w:t>
      </w:r>
    </w:p>
    <w:p w:rsidR="00B101A5" w:rsidRDefault="00B101A5" w:rsidP="00C94C35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El gobierno, encabezado por antiguos políticos parlamentaristas, parecía estar </w:t>
      </w:r>
      <w:r w:rsidR="00180263">
        <w:rPr>
          <w:rFonts w:ascii="Century Gothic" w:hAnsi="Century Gothic"/>
          <w:sz w:val="24"/>
          <w:szCs w:val="24"/>
        </w:rPr>
        <w:t>ajeno</w:t>
      </w:r>
      <w:r>
        <w:rPr>
          <w:rFonts w:ascii="Century Gothic" w:hAnsi="Century Gothic"/>
          <w:sz w:val="24"/>
          <w:szCs w:val="24"/>
        </w:rPr>
        <w:t xml:space="preserve"> e indiferente a estas dificultades. Las </w:t>
      </w:r>
      <w:r w:rsidRPr="00180263">
        <w:rPr>
          <w:rFonts w:ascii="Century Gothic" w:hAnsi="Century Gothic"/>
          <w:b/>
          <w:sz w:val="24"/>
          <w:szCs w:val="24"/>
        </w:rPr>
        <w:t>prácticas parlamentarias</w:t>
      </w:r>
      <w:r>
        <w:rPr>
          <w:rFonts w:ascii="Century Gothic" w:hAnsi="Century Gothic"/>
          <w:sz w:val="24"/>
          <w:szCs w:val="24"/>
        </w:rPr>
        <w:t xml:space="preserve"> impedían la aprobación de las </w:t>
      </w:r>
      <w:r w:rsidRPr="00180263">
        <w:rPr>
          <w:rFonts w:ascii="Century Gothic" w:hAnsi="Century Gothic"/>
          <w:b/>
          <w:sz w:val="24"/>
          <w:szCs w:val="24"/>
        </w:rPr>
        <w:t>leyes sociales</w:t>
      </w:r>
      <w:r>
        <w:rPr>
          <w:rFonts w:ascii="Century Gothic" w:hAnsi="Century Gothic"/>
          <w:sz w:val="24"/>
          <w:szCs w:val="24"/>
        </w:rPr>
        <w:t>, cuyo fin era atenuar la desmedrada situación de los grupos más pobres y cambiar la orientación económica del país.</w:t>
      </w:r>
    </w:p>
    <w:p w:rsidR="00B879E7" w:rsidRDefault="00B879E7" w:rsidP="00C94C35">
      <w:pPr>
        <w:jc w:val="both"/>
        <w:rPr>
          <w:rFonts w:ascii="Century Gothic" w:hAnsi="Century Gothic"/>
          <w:sz w:val="24"/>
          <w:szCs w:val="24"/>
        </w:rPr>
      </w:pPr>
    </w:p>
    <w:p w:rsidR="00B879E7" w:rsidRDefault="00B879E7" w:rsidP="00C94C35">
      <w:pPr>
        <w:jc w:val="both"/>
        <w:rPr>
          <w:rFonts w:ascii="Century Gothic" w:hAnsi="Century Gothic"/>
          <w:sz w:val="24"/>
          <w:szCs w:val="24"/>
        </w:rPr>
      </w:pPr>
    </w:p>
    <w:p w:rsidR="00B879E7" w:rsidRDefault="00B879E7" w:rsidP="00C94C35">
      <w:pPr>
        <w:jc w:val="both"/>
        <w:rPr>
          <w:rFonts w:ascii="Century Gothic" w:hAnsi="Century Gothic"/>
          <w:sz w:val="24"/>
          <w:szCs w:val="24"/>
        </w:rPr>
      </w:pPr>
    </w:p>
    <w:p w:rsidR="00B879E7" w:rsidRDefault="00B879E7" w:rsidP="00C94C35">
      <w:pPr>
        <w:jc w:val="both"/>
        <w:rPr>
          <w:rFonts w:ascii="Century Gothic" w:hAnsi="Century Gothic"/>
          <w:sz w:val="24"/>
          <w:szCs w:val="24"/>
        </w:rPr>
      </w:pPr>
    </w:p>
    <w:p w:rsidR="00B879E7" w:rsidRDefault="00B879E7" w:rsidP="00C94C35">
      <w:pPr>
        <w:jc w:val="both"/>
        <w:rPr>
          <w:rFonts w:ascii="Century Gothic" w:hAnsi="Century Gothic"/>
          <w:sz w:val="24"/>
          <w:szCs w:val="24"/>
        </w:rPr>
      </w:pPr>
    </w:p>
    <w:p w:rsidR="00B879E7" w:rsidRDefault="00B879E7" w:rsidP="00C94C35">
      <w:pPr>
        <w:jc w:val="both"/>
        <w:rPr>
          <w:rFonts w:ascii="Century Gothic" w:hAnsi="Century Gothic"/>
          <w:sz w:val="24"/>
          <w:szCs w:val="24"/>
        </w:rPr>
      </w:pPr>
    </w:p>
    <w:p w:rsidR="00B879E7" w:rsidRDefault="00B879E7" w:rsidP="00C94C35">
      <w:pPr>
        <w:jc w:val="both"/>
        <w:rPr>
          <w:rFonts w:ascii="Century Gothic" w:hAnsi="Century Gothic"/>
          <w:sz w:val="24"/>
          <w:szCs w:val="24"/>
        </w:rPr>
      </w:pPr>
    </w:p>
    <w:p w:rsidR="00B879E7" w:rsidRDefault="00B879E7" w:rsidP="00C94C35">
      <w:pPr>
        <w:jc w:val="both"/>
        <w:rPr>
          <w:rFonts w:ascii="Century Gothic" w:hAnsi="Century Gothic"/>
          <w:sz w:val="24"/>
          <w:szCs w:val="24"/>
        </w:rPr>
      </w:pPr>
      <w:bookmarkStart w:id="0" w:name="_GoBack"/>
      <w:bookmarkEnd w:id="0"/>
    </w:p>
    <w:p w:rsidR="00180263" w:rsidRPr="00180263" w:rsidRDefault="00180263" w:rsidP="00C94C35">
      <w:pPr>
        <w:jc w:val="both"/>
        <w:rPr>
          <w:rFonts w:ascii="Century Gothic" w:hAnsi="Century Gothic"/>
          <w:b/>
          <w:sz w:val="24"/>
          <w:szCs w:val="24"/>
        </w:rPr>
      </w:pPr>
      <w:r w:rsidRPr="00180263">
        <w:rPr>
          <w:rFonts w:ascii="Century Gothic" w:hAnsi="Century Gothic"/>
          <w:b/>
          <w:sz w:val="24"/>
          <w:szCs w:val="24"/>
        </w:rPr>
        <w:t>Alessandri llega al gobierno (1920 – 1925)</w:t>
      </w:r>
      <w:r>
        <w:rPr>
          <w:rFonts w:ascii="Century Gothic" w:hAnsi="Century Gothic"/>
          <w:b/>
          <w:sz w:val="24"/>
          <w:szCs w:val="24"/>
        </w:rPr>
        <w:t>.</w:t>
      </w:r>
    </w:p>
    <w:p w:rsidR="00180263" w:rsidRDefault="00180263" w:rsidP="00C94C35">
      <w:pPr>
        <w:jc w:val="both"/>
        <w:rPr>
          <w:rFonts w:ascii="Century Gothic" w:hAnsi="Century Gothic"/>
          <w:sz w:val="24"/>
          <w:szCs w:val="24"/>
        </w:rPr>
      </w:pPr>
    </w:p>
    <w:p w:rsidR="00180263" w:rsidRPr="00180263" w:rsidRDefault="00180263" w:rsidP="00C94C35">
      <w:pPr>
        <w:jc w:val="both"/>
        <w:rPr>
          <w:rFonts w:ascii="Century Gothic" w:hAnsi="Century Gothic"/>
          <w:b/>
          <w:sz w:val="24"/>
          <w:szCs w:val="24"/>
        </w:rPr>
      </w:pPr>
      <w:r w:rsidRPr="00180263">
        <w:rPr>
          <w:b/>
          <w:noProof/>
          <w:color w:val="0000FF"/>
          <w:lang w:eastAsia="es-CL"/>
        </w:rPr>
        <w:drawing>
          <wp:anchor distT="0" distB="0" distL="114300" distR="114300" simplePos="0" relativeHeight="251658240" behindDoc="0" locked="0" layoutInCell="1" allowOverlap="1" wp14:anchorId="6130580F" wp14:editId="16AF1E07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447800" cy="1990725"/>
            <wp:effectExtent l="0" t="0" r="0" b="9525"/>
            <wp:wrapSquare wrapText="bothSides"/>
            <wp:docPr id="5" name="irc_mi" descr="http://3.bp.blogspot.com/_pGPaOAktjns/SQEggyyUo2I/AAAAAAAAABU/lm_g4PoNPAY/S220/aless_palma_01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3.bp.blogspot.com/_pGPaOAktjns/SQEggyyUo2I/AAAAAAAAABU/lm_g4PoNPAY/S220/aless_palma_01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80263">
        <w:rPr>
          <w:rFonts w:ascii="Century Gothic" w:hAnsi="Century Gothic"/>
          <w:b/>
          <w:sz w:val="24"/>
          <w:szCs w:val="24"/>
        </w:rPr>
        <w:t>Arturo Alessandri Palma</w:t>
      </w:r>
      <w:r>
        <w:rPr>
          <w:rFonts w:ascii="Century Gothic" w:hAnsi="Century Gothic"/>
          <w:sz w:val="24"/>
          <w:szCs w:val="24"/>
        </w:rPr>
        <w:t xml:space="preserve"> (1868 – 1950) pertenecía a la </w:t>
      </w:r>
      <w:r w:rsidRPr="00180263">
        <w:rPr>
          <w:rFonts w:ascii="Century Gothic" w:hAnsi="Century Gothic"/>
          <w:b/>
          <w:sz w:val="24"/>
          <w:szCs w:val="24"/>
        </w:rPr>
        <w:t>Alianza Liberal</w:t>
      </w:r>
      <w:r>
        <w:rPr>
          <w:rFonts w:ascii="Century Gothic" w:hAnsi="Century Gothic"/>
          <w:sz w:val="24"/>
          <w:szCs w:val="24"/>
        </w:rPr>
        <w:t xml:space="preserve"> y ejercía como </w:t>
      </w:r>
      <w:r w:rsidRPr="00180263">
        <w:rPr>
          <w:rFonts w:ascii="Century Gothic" w:hAnsi="Century Gothic"/>
          <w:b/>
          <w:sz w:val="24"/>
          <w:szCs w:val="24"/>
        </w:rPr>
        <w:t>senador en Tarapacá</w:t>
      </w:r>
      <w:r>
        <w:rPr>
          <w:rFonts w:ascii="Century Gothic" w:hAnsi="Century Gothic"/>
          <w:sz w:val="24"/>
          <w:szCs w:val="24"/>
        </w:rPr>
        <w:t xml:space="preserve">, donde se localizaba la mayor parte de los distritos y yacimientos salitreros. Se destacó por sus propuestas para reformar el sistema de gobierno y dictar una legislación que solucionara los problemas sociales, planteamientos que encontraron acogida entre las clases medias y populares. Su adhesión se vio reflejada en los votos que lo eligieron como Presidente de la República en </w:t>
      </w:r>
      <w:r w:rsidRPr="00180263">
        <w:rPr>
          <w:rFonts w:ascii="Century Gothic" w:hAnsi="Century Gothic"/>
          <w:b/>
          <w:sz w:val="24"/>
          <w:szCs w:val="24"/>
        </w:rPr>
        <w:t>junio de 1920.</w:t>
      </w:r>
    </w:p>
    <w:p w:rsidR="00180263" w:rsidRDefault="00180263" w:rsidP="00C94C35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En esta elección presidencial los candidatos fueron </w:t>
      </w:r>
      <w:r w:rsidRPr="00180263">
        <w:rPr>
          <w:rFonts w:ascii="Century Gothic" w:hAnsi="Century Gothic"/>
          <w:b/>
          <w:sz w:val="24"/>
          <w:szCs w:val="24"/>
        </w:rPr>
        <w:t>Luis Barros Borgoño</w:t>
      </w:r>
      <w:r>
        <w:rPr>
          <w:rFonts w:ascii="Century Gothic" w:hAnsi="Century Gothic"/>
          <w:sz w:val="24"/>
          <w:szCs w:val="24"/>
        </w:rPr>
        <w:t xml:space="preserve">, que representaba la continuidad del régimen parlamentario y Arturo Alessandri Palma, quien fue apoyado por </w:t>
      </w:r>
      <w:r w:rsidRPr="00180263">
        <w:rPr>
          <w:rFonts w:ascii="Century Gothic" w:hAnsi="Century Gothic"/>
          <w:b/>
          <w:sz w:val="24"/>
          <w:szCs w:val="24"/>
        </w:rPr>
        <w:t>liberales, doctrinarios, radicales, demócratas y un sector de los liberales democráticos</w:t>
      </w:r>
      <w:r>
        <w:rPr>
          <w:rFonts w:ascii="Century Gothic" w:hAnsi="Century Gothic"/>
          <w:sz w:val="24"/>
          <w:szCs w:val="24"/>
        </w:rPr>
        <w:t>.</w:t>
      </w:r>
    </w:p>
    <w:p w:rsidR="00180263" w:rsidRPr="00C94C35" w:rsidRDefault="00180263" w:rsidP="00C94C35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Para lograr su objetivo de ser Presidente de la República. Alessandri recorrió el país en tren, usó consignas, canciones y afiches, pronunció apasionados discursos dirigidos a su </w:t>
      </w:r>
      <w:r w:rsidRPr="00AF794E">
        <w:rPr>
          <w:rFonts w:ascii="Century Gothic" w:hAnsi="Century Gothic"/>
          <w:b/>
          <w:sz w:val="24"/>
          <w:szCs w:val="24"/>
        </w:rPr>
        <w:t>“chusma querida”,</w:t>
      </w:r>
      <w:r>
        <w:rPr>
          <w:rFonts w:ascii="Century Gothic" w:hAnsi="Century Gothic"/>
          <w:sz w:val="24"/>
          <w:szCs w:val="24"/>
        </w:rPr>
        <w:t xml:space="preserve"> como llamaba a sus </w:t>
      </w:r>
      <w:r w:rsidR="00AF794E">
        <w:rPr>
          <w:rFonts w:ascii="Century Gothic" w:hAnsi="Century Gothic"/>
          <w:sz w:val="24"/>
          <w:szCs w:val="24"/>
        </w:rPr>
        <w:t>electores</w:t>
      </w:r>
      <w:r>
        <w:rPr>
          <w:rFonts w:ascii="Century Gothic" w:hAnsi="Century Gothic"/>
          <w:sz w:val="24"/>
          <w:szCs w:val="24"/>
        </w:rPr>
        <w:t>, para acabar con el poder de la “</w:t>
      </w:r>
      <w:r w:rsidRPr="00AF794E">
        <w:rPr>
          <w:rFonts w:ascii="Century Gothic" w:hAnsi="Century Gothic"/>
          <w:b/>
          <w:sz w:val="24"/>
          <w:szCs w:val="24"/>
        </w:rPr>
        <w:t>canalla dorada</w:t>
      </w:r>
      <w:r>
        <w:rPr>
          <w:rFonts w:ascii="Century Gothic" w:hAnsi="Century Gothic"/>
          <w:sz w:val="24"/>
          <w:szCs w:val="24"/>
        </w:rPr>
        <w:t xml:space="preserve">” refiriéndose a las clases altas. Un tercer candidato presidencial fue </w:t>
      </w:r>
      <w:r w:rsidRPr="00AF794E">
        <w:rPr>
          <w:rFonts w:ascii="Century Gothic" w:hAnsi="Century Gothic"/>
          <w:b/>
          <w:sz w:val="24"/>
          <w:szCs w:val="24"/>
        </w:rPr>
        <w:t>Luis Emilio Recabarren</w:t>
      </w:r>
      <w:r>
        <w:rPr>
          <w:rFonts w:ascii="Century Gothic" w:hAnsi="Century Gothic"/>
          <w:sz w:val="24"/>
          <w:szCs w:val="24"/>
        </w:rPr>
        <w:t xml:space="preserve">, líder del </w:t>
      </w:r>
      <w:r w:rsidRPr="00AF794E">
        <w:rPr>
          <w:rFonts w:ascii="Century Gothic" w:hAnsi="Century Gothic"/>
          <w:b/>
          <w:sz w:val="24"/>
          <w:szCs w:val="24"/>
        </w:rPr>
        <w:t>Partido Obrero Socialista</w:t>
      </w:r>
      <w:r>
        <w:rPr>
          <w:rFonts w:ascii="Century Gothic" w:hAnsi="Century Gothic"/>
          <w:sz w:val="24"/>
          <w:szCs w:val="24"/>
        </w:rPr>
        <w:t xml:space="preserve"> (Par</w:t>
      </w:r>
      <w:r w:rsidR="00AF794E">
        <w:rPr>
          <w:rFonts w:ascii="Century Gothic" w:hAnsi="Century Gothic"/>
          <w:sz w:val="24"/>
          <w:szCs w:val="24"/>
        </w:rPr>
        <w:t>tido Comunista de Chile a partir</w:t>
      </w:r>
      <w:r>
        <w:rPr>
          <w:rFonts w:ascii="Century Gothic" w:hAnsi="Century Gothic"/>
          <w:sz w:val="24"/>
          <w:szCs w:val="24"/>
        </w:rPr>
        <w:t xml:space="preserve"> de 1922).</w:t>
      </w:r>
      <w:r>
        <w:rPr>
          <w:rFonts w:ascii="Century Gothic" w:hAnsi="Century Gothic"/>
          <w:sz w:val="24"/>
          <w:szCs w:val="24"/>
        </w:rPr>
        <w:br w:type="textWrapping" w:clear="all"/>
      </w:r>
    </w:p>
    <w:sectPr w:rsidR="00180263" w:rsidRPr="00C94C35">
      <w:headerReference w:type="defaul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4C35" w:rsidRDefault="00C94C35" w:rsidP="00C94C35">
      <w:pPr>
        <w:spacing w:after="0" w:line="240" w:lineRule="auto"/>
      </w:pPr>
      <w:r>
        <w:separator/>
      </w:r>
    </w:p>
  </w:endnote>
  <w:endnote w:type="continuationSeparator" w:id="0">
    <w:p w:rsidR="00C94C35" w:rsidRDefault="00C94C35" w:rsidP="00C94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4C35" w:rsidRDefault="00C94C35" w:rsidP="00C94C35">
      <w:pPr>
        <w:spacing w:after="0" w:line="240" w:lineRule="auto"/>
      </w:pPr>
      <w:r>
        <w:separator/>
      </w:r>
    </w:p>
  </w:footnote>
  <w:footnote w:type="continuationSeparator" w:id="0">
    <w:p w:rsidR="00C94C35" w:rsidRDefault="00C94C35" w:rsidP="00C94C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C35" w:rsidRDefault="00C94C35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-251460</wp:posOffset>
          </wp:positionH>
          <wp:positionV relativeFrom="paragraph">
            <wp:posOffset>-205105</wp:posOffset>
          </wp:positionV>
          <wp:extent cx="5962650" cy="850265"/>
          <wp:effectExtent l="0" t="0" r="0" b="6985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2650" cy="850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53C"/>
    <w:rsid w:val="00180263"/>
    <w:rsid w:val="002E33C4"/>
    <w:rsid w:val="003D153C"/>
    <w:rsid w:val="00AF794E"/>
    <w:rsid w:val="00B101A5"/>
    <w:rsid w:val="00B879E7"/>
    <w:rsid w:val="00B92150"/>
    <w:rsid w:val="00C94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94C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4C35"/>
  </w:style>
  <w:style w:type="paragraph" w:styleId="Piedepgina">
    <w:name w:val="footer"/>
    <w:basedOn w:val="Normal"/>
    <w:link w:val="PiedepginaCar"/>
    <w:uiPriority w:val="99"/>
    <w:unhideWhenUsed/>
    <w:rsid w:val="00C94C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4C35"/>
  </w:style>
  <w:style w:type="table" w:styleId="Tablaconcuadrcula">
    <w:name w:val="Table Grid"/>
    <w:basedOn w:val="Tablanormal"/>
    <w:uiPriority w:val="59"/>
    <w:rsid w:val="00C94C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94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4C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94C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4C35"/>
  </w:style>
  <w:style w:type="paragraph" w:styleId="Piedepgina">
    <w:name w:val="footer"/>
    <w:basedOn w:val="Normal"/>
    <w:link w:val="PiedepginaCar"/>
    <w:uiPriority w:val="99"/>
    <w:unhideWhenUsed/>
    <w:rsid w:val="00C94C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4C35"/>
  </w:style>
  <w:style w:type="table" w:styleId="Tablaconcuadrcula">
    <w:name w:val="Table Grid"/>
    <w:basedOn w:val="Tablanormal"/>
    <w:uiPriority w:val="59"/>
    <w:rsid w:val="00C94C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94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4C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google.cl/url?sa=i&amp;rct=j&amp;q=&amp;esrc=s&amp;frm=1&amp;source=images&amp;cd=&amp;cad=rja&amp;docid=olm55Pupl1V2QM&amp;tbnid=5ehr-KF8lh-4cM:&amp;ved=0CAUQjRw&amp;url=http://demicasaalautopia.blogspot.com/2010_03_01_archive.html&amp;ei=_nkwUtChOoS8iwLylICoDA&amp;bvm=bv.52109249,d.cGE&amp;psig=AFQjCNFq9Hkwmh-NBEmoyYOnDkgQ9jsWuQ&amp;ust=1378995064351746" TargetMode="External"/><Relationship Id="rId12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google.cl/url?sa=i&amp;rct=j&amp;q=&amp;esrc=s&amp;frm=1&amp;source=images&amp;cd=&amp;cad=rja&amp;docid=kcALiTEhFne8HM&amp;tbnid=h_2-tgA89T3NSM:&amp;ved=0CAUQjRw&amp;url=http://populismoparahistoria.blogspot.com/2008/10/arturo-alessandri-palma-1920-1925-1932.html&amp;ei=wH0wUtWvLOSCjAK83YDYDg&amp;bvm=bv.52109249,d.cGE&amp;psig=AFQjCNE4JZSevDsRdTKf5ftY7BhbydkuZg&amp;ust=1378995970793309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www.google.cl/url?sa=i&amp;rct=j&amp;q=&amp;esrc=s&amp;frm=1&amp;source=images&amp;cd=&amp;cad=rja&amp;docid=riWkmIBb3aRWQM&amp;tbnid=oUrd67vOTuOIjM:&amp;ved=0CAUQjRw&amp;url=http://lejosenberlin.tumblr.com/page/30&amp;ei=QnswUrj3N4H9igLF2oGIBQ&amp;bvm=bv.52109249,d.cGE&amp;psig=AFQjCNG7dhWEseHnhSrVeMzH-xJFj-hMmg&amp;ust=1378995380776266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500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 Profesores</dc:creator>
  <cp:keywords/>
  <dc:description/>
  <cp:lastModifiedBy>Sala Profesores</cp:lastModifiedBy>
  <cp:revision>4</cp:revision>
  <cp:lastPrinted>2013-09-11T15:39:00Z</cp:lastPrinted>
  <dcterms:created xsi:type="dcterms:W3CDTF">2013-09-11T15:02:00Z</dcterms:created>
  <dcterms:modified xsi:type="dcterms:W3CDTF">2013-09-11T15:39:00Z</dcterms:modified>
</cp:coreProperties>
</file>